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E95885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Pr="00CC3369" w:rsidRDefault="00E95885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pt;margin-top:11.25pt;width:161pt;height:489.05pt;z-index:251662336;mso-wrap-style:none" stroked="f">
            <v:textbox style="mso-next-textbox:#_x0000_s1028;mso-fit-shape-to-text:t">
              <w:txbxContent>
                <w:p w:rsidR="000222DC" w:rsidRPr="00605DEC" w:rsidRDefault="000222DC" w:rsidP="000222DC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0222DC" w:rsidRDefault="000222DC" w:rsidP="000222DC">
      <w:pPr>
        <w:jc w:val="both"/>
      </w:pPr>
    </w:p>
    <w:p w:rsidR="000222DC" w:rsidRDefault="00764985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F635194" wp14:editId="103D5E94">
            <wp:simplePos x="0" y="0"/>
            <wp:positionH relativeFrom="column">
              <wp:posOffset>3175</wp:posOffset>
            </wp:positionH>
            <wp:positionV relativeFrom="paragraph">
              <wp:posOffset>233045</wp:posOffset>
            </wp:positionV>
            <wp:extent cx="3182400" cy="4338000"/>
            <wp:effectExtent l="0" t="0" r="0" b="0"/>
            <wp:wrapThrough wrapText="bothSides">
              <wp:wrapPolygon edited="0">
                <wp:start x="0" y="0"/>
                <wp:lineTo x="0" y="21534"/>
                <wp:lineTo x="21466" y="21534"/>
                <wp:lineTo x="2146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Clos Lavizon 2012 Bordeaux Superi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400" cy="43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5A5C53" w:rsidRPr="00764985" w:rsidRDefault="00764985" w:rsidP="000222DC">
      <w:pPr>
        <w:jc w:val="center"/>
        <w:rPr>
          <w:rFonts w:ascii="Times New Roman" w:hAnsi="Times New Roman"/>
          <w:b/>
          <w:sz w:val="32"/>
          <w:szCs w:val="32"/>
        </w:rPr>
      </w:pPr>
      <w:r w:rsidRPr="00764985">
        <w:rPr>
          <w:rFonts w:ascii="Times New Roman" w:hAnsi="Times New Roman"/>
          <w:b/>
          <w:sz w:val="32"/>
          <w:szCs w:val="32"/>
        </w:rPr>
        <w:t>13°</w:t>
      </w:r>
    </w:p>
    <w:p w:rsidR="005A078F" w:rsidRDefault="005A078F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764985" w:rsidRDefault="00764985" w:rsidP="002937EE">
      <w:pPr>
        <w:jc w:val="center"/>
        <w:rPr>
          <w:rFonts w:ascii="Times New Roman" w:hAnsi="Times New Roman"/>
          <w:b/>
          <w:sz w:val="44"/>
          <w:szCs w:val="44"/>
        </w:rPr>
      </w:pPr>
    </w:p>
    <w:p w:rsidR="00764985" w:rsidRDefault="00764985" w:rsidP="002937EE">
      <w:pPr>
        <w:jc w:val="center"/>
        <w:rPr>
          <w:rFonts w:ascii="Times New Roman" w:hAnsi="Times New Roman"/>
          <w:b/>
          <w:sz w:val="44"/>
          <w:szCs w:val="44"/>
        </w:rPr>
      </w:pPr>
    </w:p>
    <w:p w:rsidR="00764985" w:rsidRDefault="00764985" w:rsidP="002937EE">
      <w:pPr>
        <w:jc w:val="center"/>
        <w:rPr>
          <w:rFonts w:ascii="Times New Roman" w:hAnsi="Times New Roman"/>
          <w:b/>
          <w:sz w:val="44"/>
          <w:szCs w:val="44"/>
        </w:rPr>
      </w:pPr>
    </w:p>
    <w:p w:rsidR="00764985" w:rsidRDefault="00764985" w:rsidP="002937EE">
      <w:pPr>
        <w:jc w:val="center"/>
        <w:rPr>
          <w:rFonts w:ascii="Times New Roman" w:hAnsi="Times New Roman"/>
          <w:b/>
          <w:sz w:val="44"/>
          <w:szCs w:val="44"/>
        </w:rPr>
      </w:pPr>
    </w:p>
    <w:p w:rsidR="00764985" w:rsidRDefault="00764985" w:rsidP="002937EE">
      <w:pPr>
        <w:jc w:val="center"/>
        <w:rPr>
          <w:rFonts w:ascii="Times New Roman" w:hAnsi="Times New Roman"/>
          <w:b/>
          <w:sz w:val="44"/>
          <w:szCs w:val="44"/>
        </w:rPr>
      </w:pPr>
    </w:p>
    <w:p w:rsidR="00764985" w:rsidRDefault="00764985" w:rsidP="002937EE">
      <w:pPr>
        <w:jc w:val="center"/>
        <w:rPr>
          <w:rFonts w:ascii="Times New Roman" w:hAnsi="Times New Roman"/>
          <w:b/>
          <w:sz w:val="44"/>
          <w:szCs w:val="44"/>
        </w:rPr>
      </w:pPr>
    </w:p>
    <w:p w:rsidR="00764985" w:rsidRDefault="00764985" w:rsidP="002937EE">
      <w:pPr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2937EE" w:rsidRDefault="00B67662" w:rsidP="002937EE">
      <w:pPr>
        <w:jc w:val="center"/>
        <w:rPr>
          <w:rFonts w:ascii="Times New Roman" w:hAnsi="Times New Roman"/>
          <w:b/>
          <w:sz w:val="44"/>
          <w:szCs w:val="44"/>
        </w:rPr>
      </w:pPr>
      <w:r w:rsidRPr="002937EE">
        <w:rPr>
          <w:rFonts w:ascii="Times New Roman" w:hAnsi="Times New Roman"/>
          <w:b/>
          <w:sz w:val="44"/>
          <w:szCs w:val="44"/>
        </w:rPr>
        <w:t>CHÂTEAU</w:t>
      </w:r>
    </w:p>
    <w:p w:rsidR="000222DC" w:rsidRPr="002937EE" w:rsidRDefault="005A078F" w:rsidP="002937E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CLOS LAVIZON</w:t>
      </w:r>
      <w:r w:rsidR="007939C9">
        <w:rPr>
          <w:rFonts w:ascii="Times New Roman" w:hAnsi="Times New Roman"/>
          <w:b/>
          <w:sz w:val="44"/>
          <w:szCs w:val="44"/>
        </w:rPr>
        <w:t xml:space="preserve"> 20</w:t>
      </w:r>
      <w:r w:rsidR="00A757CC">
        <w:rPr>
          <w:rFonts w:ascii="Times New Roman" w:hAnsi="Times New Roman"/>
          <w:b/>
          <w:sz w:val="44"/>
          <w:szCs w:val="44"/>
        </w:rPr>
        <w:t>1</w:t>
      </w:r>
      <w:r w:rsidR="00220A91">
        <w:rPr>
          <w:rFonts w:ascii="Times New Roman" w:hAnsi="Times New Roman"/>
          <w:b/>
          <w:sz w:val="44"/>
          <w:szCs w:val="44"/>
        </w:rPr>
        <w:t>4</w:t>
      </w:r>
    </w:p>
    <w:p w:rsidR="000222DC" w:rsidRPr="000D4F2B" w:rsidRDefault="000222DC" w:rsidP="002937EE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D4F2B">
        <w:rPr>
          <w:rFonts w:ascii="Times New Roman" w:hAnsi="Times New Roman"/>
          <w:b/>
          <w:color w:val="C00000"/>
          <w:sz w:val="32"/>
          <w:szCs w:val="32"/>
        </w:rPr>
        <w:t>AOC BOR</w:t>
      </w:r>
      <w:r w:rsidR="00B67662" w:rsidRPr="000D4F2B">
        <w:rPr>
          <w:rFonts w:ascii="Times New Roman" w:hAnsi="Times New Roman"/>
          <w:b/>
          <w:color w:val="C00000"/>
          <w:sz w:val="32"/>
          <w:szCs w:val="32"/>
        </w:rPr>
        <w:t>DEAUX</w:t>
      </w:r>
    </w:p>
    <w:p w:rsidR="000D4F2B" w:rsidRPr="002937EE" w:rsidRDefault="005A078F" w:rsidP="002937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François Chollet</w:t>
      </w:r>
    </w:p>
    <w:p w:rsidR="000222DC" w:rsidRPr="000D4F2B" w:rsidRDefault="000222DC" w:rsidP="002937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  <w:r w:rsidRPr="002937E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0D4F2B">
        <w:rPr>
          <w:rFonts w:ascii="Times New Roman" w:eastAsia="Times New Roman" w:hAnsi="Times New Roman"/>
          <w:b/>
          <w:i/>
          <w:sz w:val="32"/>
          <w:szCs w:val="24"/>
          <w:lang w:eastAsia="fr-FR"/>
        </w:rPr>
        <w:t>.</w:t>
      </w: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C878E8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C5705">
        <w:rPr>
          <w:rFonts w:ascii="Times New Roman" w:eastAsia="Times New Roman" w:hAnsi="Times New Roman"/>
          <w:sz w:val="24"/>
          <w:szCs w:val="24"/>
          <w:lang w:eastAsia="fr-FR"/>
        </w:rPr>
        <w:tab/>
        <w:t>Argilo-calcaire</w:t>
      </w:r>
      <w:r w:rsidR="007939C9"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2937EE"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</w:t>
      </w: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u vignoble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C5705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  <w:r w:rsidR="00C878E8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B67662" w:rsidRPr="007939C9">
        <w:rPr>
          <w:rFonts w:ascii="Times New Roman" w:eastAsia="Times New Roman" w:hAnsi="Times New Roman"/>
          <w:sz w:val="24"/>
          <w:szCs w:val="24"/>
          <w:lang w:eastAsia="fr-FR"/>
        </w:rPr>
        <w:t>ans</w:t>
      </w:r>
    </w:p>
    <w:p w:rsidR="002937EE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939C9"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75DCF">
        <w:rPr>
          <w:rFonts w:ascii="Times New Roman" w:eastAsia="Times New Roman" w:hAnsi="Times New Roman"/>
          <w:sz w:val="24"/>
          <w:szCs w:val="24"/>
          <w:lang w:eastAsia="fr-FR"/>
        </w:rPr>
        <w:t>66</w:t>
      </w:r>
      <w:r w:rsidR="00C878E8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0222DC" w:rsidRDefault="007939C9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75DCF">
        <w:rPr>
          <w:rFonts w:ascii="Times New Roman" w:eastAsia="Times New Roman" w:hAnsi="Times New Roman"/>
          <w:sz w:val="24"/>
          <w:szCs w:val="24"/>
          <w:lang w:eastAsia="fr-FR"/>
        </w:rPr>
        <w:t>34</w:t>
      </w:r>
      <w:r w:rsidR="00C878E8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222DC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Cabernet </w:t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6E04AE" w:rsidRPr="007939C9" w:rsidRDefault="006E04AE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937EE" w:rsidRPr="007939C9" w:rsidRDefault="002937EE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 w:rsidR="005A5C53"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0222DC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878E8" w:rsidRDefault="00675DCF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Belle </w:t>
      </w:r>
      <w:r w:rsidR="00AC5705">
        <w:rPr>
          <w:rFonts w:ascii="Times New Roman" w:eastAsia="Times New Roman" w:hAnsi="Times New Roman"/>
          <w:sz w:val="24"/>
          <w:szCs w:val="24"/>
          <w:lang w:eastAsia="fr-FR"/>
        </w:rPr>
        <w:t xml:space="preserve">robe grenat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foncé</w:t>
      </w:r>
      <w:r w:rsidR="00AC5705">
        <w:rPr>
          <w:rFonts w:ascii="Times New Roman" w:eastAsia="Times New Roman" w:hAnsi="Times New Roman"/>
          <w:sz w:val="24"/>
          <w:szCs w:val="24"/>
          <w:lang w:eastAsia="fr-FR"/>
        </w:rPr>
        <w:t xml:space="preserve">. Nez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complexe et </w:t>
      </w:r>
      <w:r w:rsidR="00AC5705">
        <w:rPr>
          <w:rFonts w:ascii="Times New Roman" w:eastAsia="Times New Roman" w:hAnsi="Times New Roman"/>
          <w:sz w:val="24"/>
          <w:szCs w:val="24"/>
          <w:lang w:eastAsia="fr-FR"/>
        </w:rPr>
        <w:t xml:space="preserve">intense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dominé par des senteurs de </w:t>
      </w:r>
      <w:r w:rsidR="00AC5705">
        <w:rPr>
          <w:rFonts w:ascii="Times New Roman" w:eastAsia="Times New Roman" w:hAnsi="Times New Roman"/>
          <w:sz w:val="24"/>
          <w:szCs w:val="24"/>
          <w:lang w:eastAsia="fr-FR"/>
        </w:rPr>
        <w:t xml:space="preserve">fruits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rouges et de vanille. Bouche</w:t>
      </w:r>
      <w:r w:rsidR="00AC570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pleine et charnue qui dégage un fruit franc et des tanins présents qui marient rondeur et harmonie.</w:t>
      </w:r>
    </w:p>
    <w:p w:rsidR="00C878E8" w:rsidRDefault="00C878E8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878E8" w:rsidRPr="007939C9" w:rsidRDefault="00C878E8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à boire dans les </w:t>
      </w:r>
      <w:r w:rsidR="00C878E8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C5705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0222DC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C5705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viandes </w:t>
      </w:r>
      <w:r w:rsidR="0025327C">
        <w:rPr>
          <w:rFonts w:ascii="Times New Roman" w:eastAsia="Times New Roman" w:hAnsi="Times New Roman"/>
          <w:sz w:val="24"/>
          <w:szCs w:val="24"/>
          <w:lang w:eastAsia="fr-FR"/>
        </w:rPr>
        <w:t xml:space="preserve">blanches et </w:t>
      </w:r>
      <w:r w:rsidR="00AC5705">
        <w:rPr>
          <w:rFonts w:ascii="Times New Roman" w:eastAsia="Times New Roman" w:hAnsi="Times New Roman"/>
          <w:sz w:val="24"/>
          <w:szCs w:val="24"/>
          <w:lang w:eastAsia="fr-FR"/>
        </w:rPr>
        <w:t xml:space="preserve">rouges </w:t>
      </w:r>
      <w:r w:rsidR="0025327C">
        <w:rPr>
          <w:rFonts w:ascii="Times New Roman" w:eastAsia="Times New Roman" w:hAnsi="Times New Roman"/>
          <w:sz w:val="24"/>
          <w:szCs w:val="24"/>
          <w:lang w:eastAsia="fr-FR"/>
        </w:rPr>
        <w:t xml:space="preserve">grillées ou en </w:t>
      </w:r>
      <w:r w:rsidR="00E95885">
        <w:rPr>
          <w:rFonts w:ascii="Times New Roman" w:eastAsia="Times New Roman" w:hAnsi="Times New Roman"/>
          <w:sz w:val="24"/>
          <w:szCs w:val="24"/>
          <w:lang w:eastAsia="fr-FR"/>
        </w:rPr>
        <w:t>sauce,</w:t>
      </w:r>
      <w:r w:rsidR="0025327C">
        <w:rPr>
          <w:rFonts w:ascii="Times New Roman" w:eastAsia="Times New Roman" w:hAnsi="Times New Roman"/>
          <w:sz w:val="24"/>
          <w:szCs w:val="24"/>
          <w:lang w:eastAsia="fr-FR"/>
        </w:rPr>
        <w:t xml:space="preserve"> gibier, </w:t>
      </w:r>
      <w:r w:rsidR="00AC5705">
        <w:rPr>
          <w:rFonts w:ascii="Times New Roman" w:eastAsia="Times New Roman" w:hAnsi="Times New Roman"/>
          <w:sz w:val="24"/>
          <w:szCs w:val="24"/>
          <w:lang w:eastAsia="fr-FR"/>
        </w:rPr>
        <w:t>fromages.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878E8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878E8" w:rsidRDefault="00C878E8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bookmarkStart w:id="0" w:name="_GoBack"/>
      <w:bookmarkEnd w:id="0"/>
    </w:p>
    <w:p w:rsidR="00C878E8" w:rsidRDefault="00C878E8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878E8" w:rsidRPr="007939C9" w:rsidRDefault="00C878E8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300/2</w:t>
      </w:r>
      <w:r w:rsidR="00AC5705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5/1</w:t>
      </w:r>
      <w:r w:rsidR="00AC5705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0 mm</w:t>
      </w: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7.</w:t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00</w:t>
      </w:r>
      <w:r w:rsidR="005A5C53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2937EE" w:rsidRPr="007939C9" w:rsidRDefault="002937EE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3 7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 678</w:t>
      </w:r>
      <w:r w:rsidR="0025327C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00</w:t>
      </w:r>
      <w:r w:rsidR="0025327C">
        <w:rPr>
          <w:rFonts w:ascii="Times New Roman" w:eastAsia="Times New Roman" w:hAnsi="Times New Roman"/>
          <w:sz w:val="24"/>
          <w:szCs w:val="24"/>
          <w:lang w:eastAsia="fr-FR"/>
        </w:rPr>
        <w:t>2 319</w:t>
      </w:r>
    </w:p>
    <w:p w:rsidR="003D6147" w:rsidRDefault="000222DC" w:rsidP="006B0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00 678</w:t>
      </w:r>
      <w:r w:rsidR="005A078F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00</w:t>
      </w:r>
      <w:r w:rsidR="0025327C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5A078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5327C">
        <w:rPr>
          <w:rFonts w:ascii="Times New Roman" w:eastAsia="Times New Roman" w:hAnsi="Times New Roman"/>
          <w:sz w:val="24"/>
          <w:szCs w:val="24"/>
          <w:lang w:eastAsia="fr-FR"/>
        </w:rPr>
        <w:t>326</w:t>
      </w:r>
    </w:p>
    <w:sectPr w:rsidR="003D6147" w:rsidSect="007939C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8750E"/>
    <w:rsid w:val="000D4600"/>
    <w:rsid w:val="000D4F2B"/>
    <w:rsid w:val="00120BED"/>
    <w:rsid w:val="001A1B36"/>
    <w:rsid w:val="001D2CA4"/>
    <w:rsid w:val="00203276"/>
    <w:rsid w:val="00220A91"/>
    <w:rsid w:val="0025327C"/>
    <w:rsid w:val="002937EE"/>
    <w:rsid w:val="002D6F8C"/>
    <w:rsid w:val="002E515A"/>
    <w:rsid w:val="0030550F"/>
    <w:rsid w:val="00317D2D"/>
    <w:rsid w:val="00330D07"/>
    <w:rsid w:val="00377C85"/>
    <w:rsid w:val="003E4607"/>
    <w:rsid w:val="00413D0F"/>
    <w:rsid w:val="00431500"/>
    <w:rsid w:val="004624A4"/>
    <w:rsid w:val="00517851"/>
    <w:rsid w:val="005249DC"/>
    <w:rsid w:val="00524F93"/>
    <w:rsid w:val="00582FDE"/>
    <w:rsid w:val="005A078F"/>
    <w:rsid w:val="005A387C"/>
    <w:rsid w:val="005A5C53"/>
    <w:rsid w:val="00675DCF"/>
    <w:rsid w:val="006B0AD2"/>
    <w:rsid w:val="006E04AE"/>
    <w:rsid w:val="00764985"/>
    <w:rsid w:val="0076761C"/>
    <w:rsid w:val="007939C9"/>
    <w:rsid w:val="007F494A"/>
    <w:rsid w:val="00814940"/>
    <w:rsid w:val="00832CDC"/>
    <w:rsid w:val="00860FFD"/>
    <w:rsid w:val="009D1992"/>
    <w:rsid w:val="00A24BCF"/>
    <w:rsid w:val="00A757CC"/>
    <w:rsid w:val="00AA02F9"/>
    <w:rsid w:val="00AA5AC5"/>
    <w:rsid w:val="00AC5705"/>
    <w:rsid w:val="00B67662"/>
    <w:rsid w:val="00B824C9"/>
    <w:rsid w:val="00BC1F07"/>
    <w:rsid w:val="00BD621D"/>
    <w:rsid w:val="00C624BE"/>
    <w:rsid w:val="00C878E8"/>
    <w:rsid w:val="00E80E51"/>
    <w:rsid w:val="00E95885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C68E0CE-5394-48C3-B1D9-E025523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8</cp:revision>
  <cp:lastPrinted>2011-05-24T17:12:00Z</cp:lastPrinted>
  <dcterms:created xsi:type="dcterms:W3CDTF">2015-02-07T17:41:00Z</dcterms:created>
  <dcterms:modified xsi:type="dcterms:W3CDTF">2015-02-07T17:58:00Z</dcterms:modified>
</cp:coreProperties>
</file>