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9274F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7D1DA382" wp14:editId="7516A4A4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Pr="00DD5918" w:rsidRDefault="00300C24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B28DBB8" wp14:editId="3981CEBA">
            <wp:extent cx="523875" cy="523875"/>
            <wp:effectExtent l="0" t="0" r="0" b="0"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1" cy="52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F4157C" wp14:editId="61E92191">
            <wp:extent cx="514350" cy="490381"/>
            <wp:effectExtent l="0" t="0" r="0" b="0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9" cy="4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0E4DF3CB" wp14:editId="5F8E6EFD">
            <wp:simplePos x="0" y="0"/>
            <wp:positionH relativeFrom="column">
              <wp:posOffset>-142240</wp:posOffset>
            </wp:positionH>
            <wp:positionV relativeFrom="paragraph">
              <wp:posOffset>29210</wp:posOffset>
            </wp:positionV>
            <wp:extent cx="447675" cy="447675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7E6EE5" w:rsidP="00300C24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Prix d’Excellence Vinalies 2016</w:t>
      </w:r>
    </w:p>
    <w:p w:rsidR="00300C24" w:rsidRDefault="00300C24" w:rsidP="00300C24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Médaille de Bronze Macon 2016</w:t>
      </w:r>
    </w:p>
    <w:p w:rsidR="00300C24" w:rsidRDefault="00300C24" w:rsidP="00300C24">
      <w:pPr>
        <w:spacing w:after="0"/>
        <w:jc w:val="both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Médaille d’Or Gilbert&amp; Gaillard</w:t>
      </w:r>
    </w:p>
    <w:p w:rsidR="00300C24" w:rsidRDefault="00300C24" w:rsidP="003F7D62">
      <w:pPr>
        <w:jc w:val="both"/>
        <w:rPr>
          <w:rFonts w:ascii="Times New Roman" w:hAnsi="Times New Roman"/>
          <w:b/>
          <w:sz w:val="24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F560DF0" wp14:editId="53619FC1">
            <wp:simplePos x="0" y="0"/>
            <wp:positionH relativeFrom="column">
              <wp:posOffset>410210</wp:posOffset>
            </wp:positionH>
            <wp:positionV relativeFrom="paragraph">
              <wp:posOffset>113665</wp:posOffset>
            </wp:positionV>
            <wp:extent cx="2133600" cy="7628890"/>
            <wp:effectExtent l="0" t="0" r="0" b="0"/>
            <wp:wrapThrough wrapText="bothSides">
              <wp:wrapPolygon edited="0">
                <wp:start x="0" y="0"/>
                <wp:lineTo x="0" y="21521"/>
                <wp:lineTo x="21407" y="21521"/>
                <wp:lineTo x="2140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Prieuré de Bellegarde 2010 Côtes de Bou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2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C24" w:rsidRDefault="00300C24" w:rsidP="003F7D62">
      <w:pPr>
        <w:jc w:val="both"/>
        <w:rPr>
          <w:rFonts w:ascii="Times New Roman" w:hAnsi="Times New Roman"/>
          <w:b/>
          <w:sz w:val="24"/>
          <w:szCs w:val="32"/>
        </w:rPr>
      </w:pPr>
    </w:p>
    <w:p w:rsidR="00300C24" w:rsidRPr="00DD5918" w:rsidRDefault="00300C24" w:rsidP="003F7D62">
      <w:pPr>
        <w:jc w:val="both"/>
        <w:rPr>
          <w:rFonts w:ascii="Times New Roman" w:hAnsi="Times New Roman"/>
          <w:b/>
          <w:sz w:val="24"/>
          <w:szCs w:val="32"/>
        </w:rPr>
      </w:pPr>
    </w:p>
    <w:p w:rsidR="001178CF" w:rsidRPr="007E6EE5" w:rsidRDefault="001178CF" w:rsidP="001178CF">
      <w:pPr>
        <w:jc w:val="both"/>
        <w:rPr>
          <w:rFonts w:ascii="Times New Roman" w:hAnsi="Times New Roman"/>
          <w:color w:val="403152"/>
          <w:sz w:val="24"/>
          <w:szCs w:val="32"/>
        </w:rPr>
      </w:pPr>
    </w:p>
    <w:p w:rsidR="003F7D62" w:rsidRPr="003F7D62" w:rsidRDefault="003F7D62" w:rsidP="003F7D62">
      <w:pPr>
        <w:jc w:val="both"/>
        <w:rPr>
          <w:sz w:val="18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632602" w:rsidRDefault="00632602" w:rsidP="00300C24">
      <w:pPr>
        <w:rPr>
          <w:rFonts w:ascii="Times New Roman" w:hAnsi="Times New Roman"/>
          <w:b/>
          <w:sz w:val="44"/>
          <w:szCs w:val="44"/>
        </w:rPr>
      </w:pPr>
    </w:p>
    <w:p w:rsidR="00300C24" w:rsidRDefault="00300C24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1178CF" w:rsidRDefault="008C492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370F82">
        <w:rPr>
          <w:rFonts w:ascii="Times New Roman" w:hAnsi="Times New Roman"/>
          <w:b/>
          <w:sz w:val="44"/>
          <w:szCs w:val="44"/>
        </w:rPr>
        <w:t xml:space="preserve">CHÂTEAU </w:t>
      </w:r>
    </w:p>
    <w:p w:rsidR="000222DC" w:rsidRPr="00370F82" w:rsidRDefault="00DD5918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5021F5">
        <w:rPr>
          <w:rFonts w:ascii="Times New Roman" w:hAnsi="Times New Roman"/>
          <w:b/>
          <w:sz w:val="44"/>
          <w:szCs w:val="44"/>
        </w:rPr>
        <w:t xml:space="preserve">LE </w:t>
      </w:r>
      <w:r w:rsidR="00300C24">
        <w:rPr>
          <w:rFonts w:ascii="Times New Roman" w:hAnsi="Times New Roman"/>
          <w:b/>
          <w:sz w:val="44"/>
          <w:szCs w:val="44"/>
        </w:rPr>
        <w:t>PRIEURÉ</w:t>
      </w:r>
      <w:r>
        <w:rPr>
          <w:rFonts w:ascii="Times New Roman" w:hAnsi="Times New Roman"/>
          <w:b/>
          <w:sz w:val="44"/>
          <w:szCs w:val="44"/>
        </w:rPr>
        <w:t xml:space="preserve"> DE BELLEGARDE</w:t>
      </w:r>
      <w:r w:rsidR="000126A8" w:rsidRPr="00370F82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370F82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>1</w:t>
      </w:r>
      <w:r w:rsidR="007E6EE5">
        <w:rPr>
          <w:rFonts w:ascii="Times New Roman" w:hAnsi="Times New Roman"/>
          <w:b/>
          <w:sz w:val="44"/>
          <w:szCs w:val="44"/>
        </w:rPr>
        <w:t>5</w:t>
      </w:r>
    </w:p>
    <w:p w:rsidR="000222DC" w:rsidRPr="000D4F2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370F82" w:rsidRDefault="00552B04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SCEA Pont du Moron</w:t>
      </w:r>
      <w:r w:rsidR="000126A8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3E7002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370F8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8C49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D5918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370F82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52B04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>% 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370F82" w:rsidRDefault="00370F8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bookmarkStart w:id="0" w:name="OLE_LINK1"/>
      <w:bookmarkStart w:id="1" w:name="OLE_LINK2"/>
      <w:bookmarkStart w:id="2" w:name="OLE_LINK3"/>
      <w:r w:rsidR="00552B04">
        <w:rPr>
          <w:rFonts w:ascii="Times New Roman" w:eastAsia="Times New Roman" w:hAnsi="Times New Roman"/>
          <w:sz w:val="24"/>
          <w:szCs w:val="24"/>
          <w:lang w:eastAsia="fr-FR"/>
        </w:rPr>
        <w:t>18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 w:rsidR="00552B04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bookmarkEnd w:id="0"/>
      <w:bookmarkEnd w:id="1"/>
      <w:bookmarkEnd w:id="2"/>
    </w:p>
    <w:p w:rsidR="00552B04" w:rsidRDefault="00552B04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2% Cabernet franc</w:t>
      </w:r>
    </w:p>
    <w:p w:rsidR="00370F82" w:rsidRDefault="00370F8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70F82" w:rsidRDefault="00370F82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370F82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370F82" w:rsidRDefault="008C4921" w:rsidP="00632602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8C4921" w:rsidRDefault="00DD5918" w:rsidP="00632602">
      <w:pPr>
        <w:pStyle w:val="Default"/>
        <w:jc w:val="both"/>
      </w:pPr>
      <w:r>
        <w:t xml:space="preserve">Robe </w:t>
      </w:r>
      <w:r w:rsidR="00552B04">
        <w:t>grenat soutenue. Nez</w:t>
      </w:r>
      <w:r>
        <w:t xml:space="preserve"> de fruits </w:t>
      </w:r>
      <w:r w:rsidR="00552B04">
        <w:t>mûrs avec accents de cassis et de myrtilles. En b</w:t>
      </w:r>
      <w:r>
        <w:t xml:space="preserve">ouche </w:t>
      </w:r>
      <w:r w:rsidR="00552B04">
        <w:t xml:space="preserve">on apprécie son ampleur, sa sucrosité et ses tanins veloutés </w:t>
      </w:r>
      <w:r>
        <w:t xml:space="preserve">ample et fruitée. </w:t>
      </w:r>
      <w:r w:rsidR="00552B04">
        <w:t>La finale met en scène les mêmes arômes gourmands et puissants.</w:t>
      </w:r>
    </w:p>
    <w:p w:rsidR="00370F82" w:rsidRPr="00B70A47" w:rsidRDefault="00370F82" w:rsidP="00632602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 xml:space="preserve">rouges et </w:t>
      </w:r>
      <w:r w:rsidR="00DD5918">
        <w:rPr>
          <w:rFonts w:ascii="Times New Roman" w:eastAsia="Times New Roman" w:hAnsi="Times New Roman"/>
          <w:sz w:val="24"/>
          <w:szCs w:val="24"/>
          <w:lang w:eastAsia="fr-FR"/>
        </w:rPr>
        <w:t>grillades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2312D" w:rsidRDefault="00B2312D" w:rsidP="0063260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370F82">
        <w:rPr>
          <w:rFonts w:ascii="Times New Roman" w:eastAsia="Times New Roman" w:hAnsi="Times New Roman"/>
          <w:sz w:val="24"/>
          <w:szCs w:val="24"/>
          <w:lang w:eastAsia="fr-FR"/>
        </w:rPr>
        <w:t>450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1278FE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370F82" w:rsidRPr="0095424D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6326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632602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632602">
        <w:rPr>
          <w:rFonts w:eastAsia="Times New Roman"/>
          <w:lang w:eastAsia="fr-FR"/>
        </w:rPr>
        <w:tab/>
        <w:t>3 451 200</w:t>
      </w:r>
      <w:r w:rsidR="005876F8">
        <w:rPr>
          <w:rFonts w:eastAsia="Times New Roman"/>
          <w:lang w:eastAsia="fr-FR"/>
        </w:rPr>
        <w:t> 971 404</w:t>
      </w:r>
      <w:r>
        <w:rPr>
          <w:rFonts w:eastAsia="Times New Roman"/>
          <w:lang w:eastAsia="fr-FR"/>
        </w:rPr>
        <w:tab/>
      </w:r>
      <w:r w:rsidR="00B70A47">
        <w:t xml:space="preserve"> </w:t>
      </w:r>
    </w:p>
    <w:p w:rsidR="00411F24" w:rsidRDefault="008C4921" w:rsidP="00632602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bookmarkStart w:id="3" w:name="_GoBack"/>
      <w:bookmarkEnd w:id="3"/>
      <w:r w:rsidR="00632602">
        <w:rPr>
          <w:rFonts w:eastAsia="Times New Roman"/>
          <w:lang w:eastAsia="fr-FR"/>
        </w:rPr>
        <w:tab/>
        <w:t>3 451 200</w:t>
      </w:r>
      <w:r w:rsidR="00DD5918">
        <w:rPr>
          <w:rFonts w:eastAsia="Times New Roman"/>
          <w:lang w:eastAsia="fr-FR"/>
        </w:rPr>
        <w:t> 971</w:t>
      </w:r>
      <w:r w:rsidR="00300C24">
        <w:rPr>
          <w:rFonts w:eastAsia="Times New Roman"/>
          <w:lang w:eastAsia="fr-FR"/>
        </w:rPr>
        <w:t> </w:t>
      </w:r>
      <w:r w:rsidR="005876F8">
        <w:rPr>
          <w:rFonts w:eastAsia="Times New Roman"/>
          <w:lang w:eastAsia="fr-FR"/>
        </w:rPr>
        <w:t>411</w:t>
      </w:r>
    </w:p>
    <w:p w:rsidR="00411F24" w:rsidRDefault="00411F24" w:rsidP="00632602">
      <w:pPr>
        <w:pStyle w:val="Default"/>
        <w:jc w:val="both"/>
        <w:rPr>
          <w:rFonts w:eastAsia="Times New Roman"/>
          <w:lang w:eastAsia="fr-FR"/>
        </w:rPr>
      </w:pPr>
    </w:p>
    <w:p w:rsidR="00300C24" w:rsidRDefault="00300C24" w:rsidP="00632602">
      <w:pPr>
        <w:pStyle w:val="Default"/>
        <w:jc w:val="both"/>
        <w:rPr>
          <w:rFonts w:eastAsia="Times New Roman"/>
          <w:lang w:eastAsia="fr-FR"/>
        </w:rPr>
      </w:pPr>
    </w:p>
    <w:p w:rsidR="00300C24" w:rsidRPr="009274FE" w:rsidRDefault="009274FE" w:rsidP="00632602">
      <w:pPr>
        <w:pStyle w:val="Default"/>
        <w:jc w:val="both"/>
        <w:rPr>
          <w:rFonts w:eastAsia="Times New Roman"/>
          <w:b/>
          <w:sz w:val="32"/>
          <w:szCs w:val="32"/>
          <w:lang w:eastAsia="fr-FR"/>
        </w:rPr>
      </w:pPr>
      <w:r w:rsidRPr="009274FE">
        <w:rPr>
          <w:rFonts w:eastAsia="Times New Roman"/>
          <w:b/>
          <w:sz w:val="32"/>
          <w:szCs w:val="32"/>
          <w:lang w:eastAsia="fr-FR"/>
        </w:rPr>
        <w:t>13°</w:t>
      </w:r>
    </w:p>
    <w:sectPr w:rsidR="00300C24" w:rsidRPr="009274FE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126A8"/>
    <w:rsid w:val="000222DC"/>
    <w:rsid w:val="0005151E"/>
    <w:rsid w:val="000D4600"/>
    <w:rsid w:val="000D4F2B"/>
    <w:rsid w:val="000F2BD6"/>
    <w:rsid w:val="001022E9"/>
    <w:rsid w:val="001178CF"/>
    <w:rsid w:val="00120BED"/>
    <w:rsid w:val="001278FE"/>
    <w:rsid w:val="00152436"/>
    <w:rsid w:val="001A7FDF"/>
    <w:rsid w:val="001B16C5"/>
    <w:rsid w:val="001B180D"/>
    <w:rsid w:val="001D2CA4"/>
    <w:rsid w:val="00203276"/>
    <w:rsid w:val="002904F3"/>
    <w:rsid w:val="002A6D12"/>
    <w:rsid w:val="00300C24"/>
    <w:rsid w:val="00311DB0"/>
    <w:rsid w:val="00370F82"/>
    <w:rsid w:val="003E7002"/>
    <w:rsid w:val="003F34FA"/>
    <w:rsid w:val="003F7D62"/>
    <w:rsid w:val="00411F24"/>
    <w:rsid w:val="00416052"/>
    <w:rsid w:val="005021F5"/>
    <w:rsid w:val="00517851"/>
    <w:rsid w:val="00524F93"/>
    <w:rsid w:val="00552B04"/>
    <w:rsid w:val="00582FDE"/>
    <w:rsid w:val="005876F8"/>
    <w:rsid w:val="005A1E38"/>
    <w:rsid w:val="005A387C"/>
    <w:rsid w:val="005A5C53"/>
    <w:rsid w:val="00632602"/>
    <w:rsid w:val="006A5222"/>
    <w:rsid w:val="00770D40"/>
    <w:rsid w:val="007C1256"/>
    <w:rsid w:val="007D749E"/>
    <w:rsid w:val="007E6EE5"/>
    <w:rsid w:val="00832CDC"/>
    <w:rsid w:val="00860FFD"/>
    <w:rsid w:val="008A0F4B"/>
    <w:rsid w:val="008C4921"/>
    <w:rsid w:val="008F5B8B"/>
    <w:rsid w:val="009267E7"/>
    <w:rsid w:val="009274FE"/>
    <w:rsid w:val="009B5E58"/>
    <w:rsid w:val="009E656B"/>
    <w:rsid w:val="00A24BCF"/>
    <w:rsid w:val="00A5504B"/>
    <w:rsid w:val="00AD405C"/>
    <w:rsid w:val="00B01BB8"/>
    <w:rsid w:val="00B2312D"/>
    <w:rsid w:val="00B67662"/>
    <w:rsid w:val="00B70A47"/>
    <w:rsid w:val="00BB32BE"/>
    <w:rsid w:val="00BC1F07"/>
    <w:rsid w:val="00BD621D"/>
    <w:rsid w:val="00C57848"/>
    <w:rsid w:val="00CC4F4B"/>
    <w:rsid w:val="00D93A66"/>
    <w:rsid w:val="00DD5918"/>
    <w:rsid w:val="00DF02C1"/>
    <w:rsid w:val="00DF0F1B"/>
    <w:rsid w:val="00E80E51"/>
    <w:rsid w:val="00E94CC0"/>
    <w:rsid w:val="00F36AF2"/>
    <w:rsid w:val="00F41F4E"/>
    <w:rsid w:val="00F87877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7</cp:revision>
  <cp:lastPrinted>2011-05-24T16:59:00Z</cp:lastPrinted>
  <dcterms:created xsi:type="dcterms:W3CDTF">2016-08-30T09:30:00Z</dcterms:created>
  <dcterms:modified xsi:type="dcterms:W3CDTF">2016-10-03T08:58:00Z</dcterms:modified>
</cp:coreProperties>
</file>