
<file path=[Content_Types].xml><?xml version="1.0" encoding="utf-8"?>
<Types xmlns="http://schemas.openxmlformats.org/package/2006/content-types">
  <Default Extension="jpeg" ContentType="image/jpe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DC" w:rsidRPr="006A56E9" w:rsidRDefault="0060159B" w:rsidP="000222DC">
      <w:pPr>
        <w:rPr>
          <w:rFonts w:ascii="Times New Roman" w:hAnsi="Times New Roman"/>
          <w:i/>
          <w:sz w:val="20"/>
          <w:szCs w:val="20"/>
        </w:rPr>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03.15pt;margin-top:-1.55pt;width:5in;height:27pt;z-index:251664384" fillcolor="#a47900" stroked="f">
            <v:fill color2="#9c0"/>
            <v:shadow on="t" color="silver"/>
            <v:textpath style="font-family:&quot;Tempus Sans ITC&quot;;font-size:18pt;v-text-kern:t" trim="t" fitpath="t" string="GM DISTRIBUTION&#10;"/>
          </v:shape>
        </w:pict>
      </w:r>
      <w:r>
        <w:rPr>
          <w:noProof/>
          <w:lang w:eastAsia="fr-FR"/>
        </w:rPr>
        <w:pict>
          <v:shape id="_x0000_s1029" type="#_x0000_t136" style="position:absolute;margin-left:103.15pt;margin-top:34.45pt;width:359.25pt;height:9.75pt;z-index:251663360" fillcolor="#a47900" stroked="f">
            <v:fill color2="#9c0"/>
            <v:shadow on="t" color="silver"/>
            <v:textpath style="font-family:&quot;Batang&quot;;font-size:10pt;v-text-kern:t" trim="t" fitpath="t" string="19 Rue des Forges - 86200 Loudun - Tél 05.49.98.33.23 / Fax : 05.49.98.33.63 "/>
          </v:shape>
        </w:pict>
      </w:r>
      <w:r w:rsidR="000222DC">
        <w:rPr>
          <w:noProof/>
          <w:lang w:eastAsia="fr-FR"/>
        </w:rPr>
        <w:drawing>
          <wp:inline distT="0" distB="0" distL="0" distR="0">
            <wp:extent cx="831850" cy="681711"/>
            <wp:effectExtent l="19050" t="0" r="6350" b="0"/>
            <wp:docPr id="3" name="Imag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pic:cNvPicPr>
                      <a:picLocks noChangeAspect="1" noChangeArrowheads="1"/>
                    </pic:cNvPicPr>
                  </pic:nvPicPr>
                  <pic:blipFill>
                    <a:blip r:embed="rId6" cstate="print"/>
                    <a:srcRect/>
                    <a:stretch>
                      <a:fillRect/>
                    </a:stretch>
                  </pic:blipFill>
                  <pic:spPr bwMode="auto">
                    <a:xfrm>
                      <a:off x="0" y="0"/>
                      <a:ext cx="831850" cy="681711"/>
                    </a:xfrm>
                    <a:prstGeom prst="rect">
                      <a:avLst/>
                    </a:prstGeom>
                    <a:noFill/>
                    <a:ln w="9525">
                      <a:noFill/>
                      <a:miter lim="800000"/>
                      <a:headEnd/>
                      <a:tailEnd/>
                    </a:ln>
                  </pic:spPr>
                </pic:pic>
              </a:graphicData>
            </a:graphic>
          </wp:inline>
        </w:drawing>
      </w:r>
      <w:r w:rsidR="000222DC">
        <w:rPr>
          <w:rFonts w:ascii="Times New Roman" w:hAnsi="Times New Roman"/>
          <w:i/>
          <w:sz w:val="20"/>
          <w:szCs w:val="20"/>
        </w:rPr>
        <w:tab/>
      </w:r>
    </w:p>
    <w:p w:rsidR="000222DC" w:rsidRDefault="000222DC" w:rsidP="000222DC">
      <w:pPr>
        <w:jc w:val="both"/>
      </w:pPr>
    </w:p>
    <w:p w:rsidR="000222DC" w:rsidRDefault="000222DC" w:rsidP="000222DC">
      <w:pPr>
        <w:jc w:val="both"/>
      </w:pPr>
    </w:p>
    <w:p w:rsidR="00A9209F" w:rsidRDefault="00DE25DE" w:rsidP="000222DC">
      <w:pPr>
        <w:jc w:val="center"/>
        <w:rPr>
          <w:rFonts w:ascii="Times New Roman" w:hAnsi="Times New Roman"/>
          <w:b/>
          <w:sz w:val="44"/>
          <w:szCs w:val="40"/>
        </w:rPr>
      </w:pPr>
      <w:r>
        <w:rPr>
          <w:rFonts w:ascii="Times New Roman" w:hAnsi="Times New Roman"/>
          <w:b/>
          <w:noProof/>
          <w:sz w:val="44"/>
          <w:szCs w:val="40"/>
          <w:lang w:eastAsia="fr-FR"/>
        </w:rPr>
        <w:drawing>
          <wp:anchor distT="0" distB="0" distL="114300" distR="114300" simplePos="0" relativeHeight="251665408" behindDoc="1" locked="0" layoutInCell="1" allowOverlap="1" wp14:anchorId="59C58061" wp14:editId="08DAEE2C">
            <wp:simplePos x="0" y="0"/>
            <wp:positionH relativeFrom="column">
              <wp:posOffset>398780</wp:posOffset>
            </wp:positionH>
            <wp:positionV relativeFrom="paragraph">
              <wp:posOffset>19050</wp:posOffset>
            </wp:positionV>
            <wp:extent cx="2290445" cy="8239125"/>
            <wp:effectExtent l="0" t="0" r="0" b="0"/>
            <wp:wrapThrough wrapText="bothSides">
              <wp:wrapPolygon edited="0">
                <wp:start x="0" y="0"/>
                <wp:lineTo x="0" y="21575"/>
                <wp:lineTo x="21378" y="21575"/>
                <wp:lineTo x="2137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on du Medoc 2011 Listrac Medoc.jpg"/>
                    <pic:cNvPicPr/>
                  </pic:nvPicPr>
                  <pic:blipFill>
                    <a:blip r:embed="rId7">
                      <a:extLst>
                        <a:ext uri="{28A0092B-C50C-407E-A947-70E740481C1C}">
                          <a14:useLocalDpi xmlns:a14="http://schemas.microsoft.com/office/drawing/2010/main" val="0"/>
                        </a:ext>
                      </a:extLst>
                    </a:blip>
                    <a:stretch>
                      <a:fillRect/>
                    </a:stretch>
                  </pic:blipFill>
                  <pic:spPr>
                    <a:xfrm>
                      <a:off x="0" y="0"/>
                      <a:ext cx="2290445" cy="8239125"/>
                    </a:xfrm>
                    <a:prstGeom prst="rect">
                      <a:avLst/>
                    </a:prstGeom>
                  </pic:spPr>
                </pic:pic>
              </a:graphicData>
            </a:graphic>
            <wp14:sizeRelH relativeFrom="page">
              <wp14:pctWidth>0</wp14:pctWidth>
            </wp14:sizeRelH>
            <wp14:sizeRelV relativeFrom="page">
              <wp14:pctHeight>0</wp14:pctHeight>
            </wp14:sizeRelV>
          </wp:anchor>
        </w:drawing>
      </w:r>
    </w:p>
    <w:p w:rsidR="00A9209F" w:rsidRDefault="00A9209F" w:rsidP="000222DC">
      <w:pPr>
        <w:jc w:val="center"/>
        <w:rPr>
          <w:rFonts w:ascii="Times New Roman" w:hAnsi="Times New Roman"/>
          <w:b/>
          <w:sz w:val="44"/>
          <w:szCs w:val="40"/>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Default="00C22352" w:rsidP="00560909">
      <w:pPr>
        <w:spacing w:line="240" w:lineRule="auto"/>
        <w:jc w:val="center"/>
        <w:rPr>
          <w:rFonts w:ascii="Times New Roman" w:hAnsi="Times New Roman"/>
          <w:b/>
          <w:noProof/>
          <w:sz w:val="44"/>
          <w:szCs w:val="40"/>
          <w:lang w:eastAsia="fr-FR"/>
        </w:rPr>
      </w:pPr>
    </w:p>
    <w:p w:rsidR="00C22352" w:rsidRPr="00DE25DE" w:rsidRDefault="00DE25DE" w:rsidP="00FA15E0">
      <w:pPr>
        <w:spacing w:line="240" w:lineRule="auto"/>
        <w:ind w:left="1416"/>
        <w:rPr>
          <w:rFonts w:ascii="Times New Roman" w:hAnsi="Times New Roman"/>
          <w:b/>
          <w:noProof/>
          <w:sz w:val="32"/>
          <w:szCs w:val="32"/>
          <w:lang w:eastAsia="fr-FR"/>
        </w:rPr>
      </w:pPr>
      <w:r>
        <w:rPr>
          <w:rFonts w:ascii="Times New Roman" w:hAnsi="Times New Roman"/>
          <w:b/>
          <w:noProof/>
          <w:sz w:val="32"/>
          <w:szCs w:val="32"/>
          <w:lang w:eastAsia="fr-FR"/>
        </w:rPr>
        <w:t xml:space="preserve">                         </w:t>
      </w:r>
      <w:r w:rsidR="00FA15E0">
        <w:rPr>
          <w:rFonts w:ascii="Times New Roman" w:hAnsi="Times New Roman"/>
          <w:b/>
          <w:noProof/>
          <w:sz w:val="32"/>
          <w:szCs w:val="32"/>
          <w:lang w:eastAsia="fr-FR"/>
        </w:rPr>
        <w:t xml:space="preserve">      </w:t>
      </w:r>
      <w:r w:rsidR="005D748B">
        <w:rPr>
          <w:rFonts w:ascii="Times New Roman" w:hAnsi="Times New Roman"/>
          <w:b/>
          <w:noProof/>
          <w:sz w:val="32"/>
          <w:szCs w:val="32"/>
          <w:lang w:eastAsia="fr-FR"/>
        </w:rPr>
        <w:t>14°</w:t>
      </w:r>
    </w:p>
    <w:p w:rsidR="00C22352" w:rsidRDefault="00C22352" w:rsidP="00560909">
      <w:pPr>
        <w:spacing w:line="240" w:lineRule="auto"/>
        <w:jc w:val="center"/>
        <w:rPr>
          <w:rFonts w:ascii="Times New Roman" w:hAnsi="Times New Roman"/>
          <w:b/>
          <w:noProof/>
          <w:sz w:val="44"/>
          <w:szCs w:val="40"/>
          <w:lang w:eastAsia="fr-FR"/>
        </w:rPr>
      </w:pPr>
    </w:p>
    <w:p w:rsidR="00BB7A27" w:rsidRDefault="00BB7A27" w:rsidP="00560909">
      <w:pPr>
        <w:spacing w:line="240" w:lineRule="auto"/>
        <w:jc w:val="center"/>
        <w:rPr>
          <w:rFonts w:ascii="Times New Roman" w:hAnsi="Times New Roman"/>
          <w:b/>
          <w:noProof/>
          <w:sz w:val="44"/>
          <w:szCs w:val="40"/>
          <w:lang w:eastAsia="fr-FR"/>
        </w:rPr>
      </w:pPr>
    </w:p>
    <w:p w:rsidR="00964969" w:rsidRDefault="00964969" w:rsidP="00560909">
      <w:pPr>
        <w:spacing w:line="240" w:lineRule="auto"/>
        <w:jc w:val="center"/>
        <w:rPr>
          <w:rFonts w:ascii="Times New Roman" w:hAnsi="Times New Roman"/>
          <w:b/>
          <w:noProof/>
          <w:sz w:val="44"/>
          <w:szCs w:val="40"/>
          <w:lang w:eastAsia="fr-FR"/>
        </w:rPr>
      </w:pPr>
    </w:p>
    <w:p w:rsidR="00DE25DE" w:rsidRDefault="00DE25DE" w:rsidP="00225D49">
      <w:pPr>
        <w:spacing w:line="240" w:lineRule="auto"/>
        <w:contextualSpacing/>
        <w:jc w:val="center"/>
        <w:rPr>
          <w:rFonts w:ascii="Times New Roman" w:hAnsi="Times New Roman"/>
          <w:b/>
          <w:noProof/>
          <w:sz w:val="44"/>
          <w:szCs w:val="40"/>
          <w:lang w:eastAsia="fr-FR"/>
        </w:rPr>
      </w:pPr>
    </w:p>
    <w:p w:rsidR="00DE25DE" w:rsidRDefault="00DE25DE" w:rsidP="00225D49">
      <w:pPr>
        <w:spacing w:line="240" w:lineRule="auto"/>
        <w:contextualSpacing/>
        <w:jc w:val="center"/>
        <w:rPr>
          <w:rFonts w:ascii="Times New Roman" w:hAnsi="Times New Roman"/>
          <w:b/>
          <w:noProof/>
          <w:sz w:val="44"/>
          <w:szCs w:val="40"/>
          <w:lang w:eastAsia="fr-FR"/>
        </w:rPr>
      </w:pPr>
    </w:p>
    <w:p w:rsidR="00FA15E0" w:rsidRDefault="00FA15E0" w:rsidP="00FA15E0">
      <w:pPr>
        <w:pStyle w:val="Standard"/>
        <w:jc w:val="center"/>
      </w:pPr>
      <w:r>
        <w:rPr>
          <w:rFonts w:ascii="Times New Roman" w:hAnsi="Times New Roman"/>
          <w:b/>
          <w:sz w:val="44"/>
          <w:szCs w:val="40"/>
        </w:rPr>
        <w:t>CLOS TOUMALIN  2015</w:t>
      </w:r>
    </w:p>
    <w:p w:rsidR="00FA15E0" w:rsidRDefault="00FA15E0" w:rsidP="00FA15E0">
      <w:pPr>
        <w:pStyle w:val="Standard"/>
        <w:jc w:val="center"/>
      </w:pPr>
      <w:r>
        <w:rPr>
          <w:rFonts w:ascii="Times New Roman" w:hAnsi="Times New Roman"/>
          <w:b/>
          <w:color w:val="C00000"/>
          <w:sz w:val="32"/>
          <w:szCs w:val="32"/>
        </w:rPr>
        <w:t xml:space="preserve">AOC CANON-FRONSAC    </w:t>
      </w:r>
    </w:p>
    <w:p w:rsidR="00FA15E0" w:rsidRDefault="00FA15E0" w:rsidP="00FA15E0">
      <w:pPr>
        <w:pStyle w:val="Standard"/>
        <w:spacing w:after="0" w:line="240" w:lineRule="auto"/>
        <w:jc w:val="center"/>
      </w:pPr>
      <w:bookmarkStart w:id="0" w:name="_GoBack"/>
      <w:bookmarkEnd w:id="0"/>
    </w:p>
    <w:p w:rsidR="00FA15E0" w:rsidRDefault="00FA15E0" w:rsidP="00FA15E0">
      <w:pPr>
        <w:pStyle w:val="Standard"/>
        <w:jc w:val="both"/>
        <w:rPr>
          <w:sz w:val="24"/>
          <w:szCs w:val="24"/>
        </w:rPr>
      </w:pPr>
    </w:p>
    <w:p w:rsidR="00FA15E0" w:rsidRDefault="00FA15E0" w:rsidP="00FA15E0">
      <w:pPr>
        <w:pStyle w:val="Standard"/>
        <w:spacing w:after="0" w:line="240" w:lineRule="auto"/>
        <w:jc w:val="both"/>
      </w:pPr>
      <w:r>
        <w:rPr>
          <w:rFonts w:ascii="Times New Roman" w:eastAsia="Times New Roman" w:hAnsi="Times New Roman"/>
          <w:b/>
          <w:sz w:val="24"/>
          <w:szCs w:val="24"/>
          <w:u w:val="single"/>
          <w:lang w:eastAsia="fr-FR"/>
        </w:rPr>
        <w:t>LE VIGNOBLE :</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Nature des sols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t>Argilo</w:t>
      </w:r>
      <w:r>
        <w:rPr>
          <w:rFonts w:ascii="Times New Roman" w:hAnsi="Times New Roman" w:cs="Calibri"/>
          <w:sz w:val="24"/>
          <w:szCs w:val="24"/>
        </w:rPr>
        <w:t>-calcaire</w:t>
      </w:r>
      <w:r>
        <w:rPr>
          <w:rFonts w:ascii="Times New Roman" w:eastAsia="Times New Roman" w:hAnsi="Times New Roman"/>
          <w:sz w:val="24"/>
          <w:szCs w:val="24"/>
          <w:lang w:eastAsia="fr-FR"/>
        </w:rPr>
        <w:tab/>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Encépagement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t xml:space="preserve">60% merlot  </w:t>
      </w:r>
    </w:p>
    <w:p w:rsidR="00FA15E0" w:rsidRDefault="00FA15E0" w:rsidP="00FA15E0">
      <w:pPr>
        <w:pStyle w:val="Standard"/>
        <w:spacing w:after="0" w:line="240" w:lineRule="auto"/>
        <w:ind w:left="1416" w:firstLine="708"/>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40% cabernet sauvignon</w:t>
      </w:r>
    </w:p>
    <w:p w:rsidR="00FA15E0" w:rsidRDefault="00FA15E0" w:rsidP="00FA15E0">
      <w:pPr>
        <w:pStyle w:val="Standard"/>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p>
    <w:p w:rsidR="00FA15E0" w:rsidRDefault="00FA15E0" w:rsidP="00FA15E0">
      <w:pPr>
        <w:pStyle w:val="Standard"/>
        <w:spacing w:after="0" w:line="240" w:lineRule="auto"/>
        <w:jc w:val="both"/>
        <w:rPr>
          <w:rFonts w:ascii="Times New Roman" w:eastAsia="Times New Roman" w:hAnsi="Times New Roman"/>
          <w:b/>
          <w:sz w:val="24"/>
          <w:szCs w:val="24"/>
          <w:u w:val="single"/>
          <w:lang w:eastAsia="fr-FR"/>
        </w:rPr>
      </w:pPr>
    </w:p>
    <w:p w:rsidR="00FA15E0" w:rsidRDefault="00FA15E0" w:rsidP="00FA15E0">
      <w:pPr>
        <w:pStyle w:val="Standard"/>
        <w:spacing w:after="0" w:line="240" w:lineRule="auto"/>
        <w:jc w:val="both"/>
      </w:pPr>
      <w:r>
        <w:rPr>
          <w:rFonts w:ascii="Times New Roman" w:eastAsia="Times New Roman" w:hAnsi="Times New Roman"/>
          <w:b/>
          <w:sz w:val="24"/>
          <w:szCs w:val="24"/>
          <w:u w:val="single"/>
          <w:lang w:eastAsia="fr-FR"/>
        </w:rPr>
        <w:t>DEGUSTATION &amp; CONSERVATION :</w:t>
      </w:r>
    </w:p>
    <w:p w:rsidR="00FA15E0" w:rsidRDefault="00FA15E0" w:rsidP="00FA15E0">
      <w:pPr>
        <w:pStyle w:val="Default"/>
        <w:jc w:val="both"/>
      </w:pPr>
      <w:r>
        <w:rPr>
          <w:rFonts w:eastAsia="Times New Roman"/>
          <w:u w:val="single"/>
          <w:lang w:eastAsia="fr-FR"/>
        </w:rPr>
        <w:t>Commentaire de dégustation :</w:t>
      </w:r>
    </w:p>
    <w:p w:rsidR="00FA15E0" w:rsidRDefault="00FA15E0" w:rsidP="00FA15E0">
      <w:pPr>
        <w:pStyle w:val="Standard"/>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D'un rouge intense, c'est un vin riche avec une attaque franche, des fruits très mûrs. Les tannins sont très ronds et souples avec une bouche très ample. La finale est longue et très aromatique avec la promesse d'une belle tenue dans le temps.</w:t>
      </w:r>
    </w:p>
    <w:p w:rsidR="00FA15E0" w:rsidRDefault="00FA15E0" w:rsidP="00FA15E0">
      <w:pPr>
        <w:pStyle w:val="Standard"/>
        <w:spacing w:after="0" w:line="240" w:lineRule="auto"/>
        <w:jc w:val="both"/>
        <w:rPr>
          <w:rFonts w:ascii="Times New Roman" w:eastAsia="Times New Roman" w:hAnsi="Times New Roman"/>
          <w:sz w:val="24"/>
          <w:szCs w:val="24"/>
          <w:u w:val="single"/>
          <w:lang w:eastAsia="fr-FR"/>
        </w:rPr>
      </w:pPr>
    </w:p>
    <w:p w:rsidR="00FA15E0" w:rsidRDefault="00FA15E0" w:rsidP="00FA15E0">
      <w:pPr>
        <w:pStyle w:val="Default"/>
        <w:jc w:val="both"/>
        <w:rPr>
          <w:rFonts w:eastAsia="Times New Roman"/>
          <w:lang w:eastAsia="fr-FR"/>
        </w:rPr>
      </w:pP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Dégustation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sidR="0060159B">
        <w:rPr>
          <w:rFonts w:ascii="Times New Roman" w:eastAsia="Times New Roman" w:hAnsi="Times New Roman"/>
          <w:sz w:val="24"/>
          <w:szCs w:val="24"/>
          <w:lang w:eastAsia="fr-FR"/>
        </w:rPr>
        <w:tab/>
      </w:r>
      <w:r>
        <w:rPr>
          <w:rFonts w:ascii="Times New Roman" w:eastAsia="Times New Roman" w:hAnsi="Times New Roman"/>
          <w:sz w:val="24"/>
          <w:szCs w:val="24"/>
          <w:lang w:eastAsia="fr-FR"/>
        </w:rPr>
        <w:t>entre 16°</w:t>
      </w:r>
      <w:r w:rsidR="0060159B">
        <w:rPr>
          <w:rFonts w:ascii="Times New Roman" w:eastAsia="Times New Roman" w:hAnsi="Times New Roman"/>
          <w:sz w:val="24"/>
          <w:szCs w:val="24"/>
          <w:lang w:eastAsia="fr-FR"/>
        </w:rPr>
        <w:t>C</w:t>
      </w:r>
      <w:r>
        <w:rPr>
          <w:rFonts w:ascii="Times New Roman" w:eastAsia="Times New Roman" w:hAnsi="Times New Roman"/>
          <w:sz w:val="24"/>
          <w:szCs w:val="24"/>
          <w:lang w:eastAsia="fr-FR"/>
        </w:rPr>
        <w:t xml:space="preserve"> et 18°</w:t>
      </w:r>
      <w:r w:rsidR="0060159B">
        <w:rPr>
          <w:rFonts w:ascii="Times New Roman" w:eastAsia="Times New Roman" w:hAnsi="Times New Roman"/>
          <w:sz w:val="24"/>
          <w:szCs w:val="24"/>
          <w:lang w:eastAsia="fr-FR"/>
        </w:rPr>
        <w:t>C.</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Vieillissement :</w:t>
      </w:r>
      <w:r>
        <w:rPr>
          <w:rFonts w:ascii="Times New Roman" w:eastAsia="Times New Roman" w:hAnsi="Times New Roman"/>
          <w:sz w:val="24"/>
          <w:szCs w:val="24"/>
          <w:lang w:eastAsia="fr-FR"/>
        </w:rPr>
        <w:t xml:space="preserve"> </w:t>
      </w:r>
      <w:r w:rsidR="0060159B">
        <w:rPr>
          <w:rFonts w:ascii="Times New Roman" w:eastAsia="Times New Roman" w:hAnsi="Times New Roman"/>
          <w:sz w:val="24"/>
          <w:szCs w:val="24"/>
          <w:lang w:eastAsia="fr-FR"/>
        </w:rPr>
        <w:tab/>
      </w:r>
      <w:r>
        <w:rPr>
          <w:rFonts w:ascii="Times New Roman" w:eastAsia="Times New Roman" w:hAnsi="Times New Roman"/>
          <w:sz w:val="24"/>
          <w:szCs w:val="24"/>
          <w:lang w:eastAsia="fr-FR"/>
        </w:rPr>
        <w:t>2 à 3 ans</w:t>
      </w:r>
      <w:r>
        <w:rPr>
          <w:rFonts w:ascii="Times New Roman" w:eastAsia="Times New Roman" w:hAnsi="Times New Roman"/>
          <w:sz w:val="24"/>
          <w:szCs w:val="24"/>
          <w:lang w:eastAsia="fr-FR"/>
        </w:rPr>
        <w:tab/>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Accords mets vins :</w:t>
      </w:r>
      <w:r>
        <w:rPr>
          <w:rFonts w:ascii="Times New Roman" w:eastAsia="Times New Roman" w:hAnsi="Times New Roman"/>
          <w:sz w:val="24"/>
          <w:szCs w:val="24"/>
          <w:lang w:eastAsia="fr-FR"/>
        </w:rPr>
        <w:t xml:space="preserve"> magret de canard, viandes blanches, pièce de bœuf.</w:t>
      </w:r>
    </w:p>
    <w:p w:rsidR="00FA15E0" w:rsidRDefault="00FA15E0" w:rsidP="00FA15E0">
      <w:pPr>
        <w:pStyle w:val="Standard"/>
        <w:spacing w:after="0" w:line="240" w:lineRule="auto"/>
        <w:jc w:val="both"/>
        <w:rPr>
          <w:rFonts w:ascii="Times New Roman" w:eastAsia="Times New Roman" w:hAnsi="Times New Roman"/>
          <w:sz w:val="24"/>
          <w:szCs w:val="24"/>
          <w:lang w:eastAsia="fr-FR"/>
        </w:rPr>
      </w:pPr>
    </w:p>
    <w:p w:rsidR="00FA15E0" w:rsidRDefault="00FA15E0" w:rsidP="00FA15E0">
      <w:pPr>
        <w:pStyle w:val="Standard"/>
        <w:spacing w:after="0" w:line="240" w:lineRule="auto"/>
        <w:jc w:val="both"/>
        <w:rPr>
          <w:rFonts w:ascii="Times New Roman" w:eastAsia="Times New Roman" w:hAnsi="Times New Roman"/>
          <w:b/>
          <w:sz w:val="24"/>
          <w:szCs w:val="24"/>
          <w:u w:val="single"/>
          <w:lang w:eastAsia="fr-FR"/>
        </w:rPr>
      </w:pPr>
    </w:p>
    <w:p w:rsidR="00FA15E0" w:rsidRDefault="00FA15E0" w:rsidP="00FA15E0">
      <w:pPr>
        <w:pStyle w:val="Standard"/>
        <w:spacing w:after="0" w:line="240" w:lineRule="auto"/>
        <w:jc w:val="both"/>
        <w:rPr>
          <w:rFonts w:ascii="Times New Roman" w:eastAsia="Times New Roman" w:hAnsi="Times New Roman"/>
          <w:sz w:val="24"/>
          <w:szCs w:val="24"/>
          <w:lang w:eastAsia="fr-FR"/>
        </w:rPr>
      </w:pPr>
    </w:p>
    <w:p w:rsidR="00FA15E0" w:rsidRDefault="00FA15E0" w:rsidP="00FA15E0">
      <w:pPr>
        <w:pStyle w:val="Standard"/>
        <w:spacing w:after="0" w:line="240" w:lineRule="auto"/>
        <w:jc w:val="both"/>
      </w:pPr>
      <w:r>
        <w:rPr>
          <w:rFonts w:ascii="Times New Roman" w:eastAsia="Times New Roman" w:hAnsi="Times New Roman"/>
          <w:b/>
          <w:sz w:val="24"/>
          <w:szCs w:val="24"/>
          <w:u w:val="single"/>
          <w:lang w:eastAsia="fr-FR"/>
        </w:rPr>
        <w:t>PALLETISATION :</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Dimensions palette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1200/800/1380 mm</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Dimension 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300/235/160 mm</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Poids du 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7.560 kg</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Bouteilles/carton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6 bouteilles debout</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Cartons/couche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25</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Couches/palette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4</w:t>
      </w:r>
    </w:p>
    <w:p w:rsidR="00FA15E0" w:rsidRDefault="00FA15E0" w:rsidP="00FA15E0">
      <w:pPr>
        <w:pStyle w:val="Standard"/>
        <w:spacing w:after="0" w:line="240" w:lineRule="auto"/>
        <w:jc w:val="both"/>
      </w:pPr>
      <w:r>
        <w:rPr>
          <w:rFonts w:ascii="Times New Roman" w:eastAsia="Times New Roman" w:hAnsi="Times New Roman"/>
          <w:sz w:val="24"/>
          <w:szCs w:val="24"/>
          <w:u w:val="single"/>
          <w:lang w:eastAsia="fr-FR"/>
        </w:rPr>
        <w:t>Bouteilles/palette :</w:t>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Pr>
          <w:rFonts w:ascii="Times New Roman" w:eastAsia="Times New Roman" w:hAnsi="Times New Roman"/>
          <w:sz w:val="24"/>
          <w:szCs w:val="24"/>
          <w:lang w:eastAsia="fr-FR"/>
        </w:rPr>
        <w:tab/>
        <w:t>600</w:t>
      </w:r>
      <w:r>
        <w:rPr>
          <w:rFonts w:ascii="Times New Roman" w:eastAsia="Times New Roman" w:hAnsi="Times New Roman"/>
          <w:sz w:val="24"/>
          <w:szCs w:val="24"/>
          <w:lang w:eastAsia="fr-FR"/>
        </w:rPr>
        <w:tab/>
      </w:r>
    </w:p>
    <w:p w:rsidR="00FA15E0" w:rsidRDefault="00FA15E0" w:rsidP="00FA15E0">
      <w:pPr>
        <w:pStyle w:val="Standard"/>
        <w:spacing w:after="0" w:line="240" w:lineRule="auto"/>
        <w:jc w:val="both"/>
        <w:rPr>
          <w:rFonts w:ascii="Times New Roman" w:eastAsia="Times New Roman" w:hAnsi="Times New Roman"/>
          <w:sz w:val="24"/>
          <w:szCs w:val="24"/>
          <w:lang w:eastAsia="fr-FR"/>
        </w:rPr>
      </w:pPr>
    </w:p>
    <w:p w:rsidR="00FA15E0" w:rsidRDefault="00FA15E0" w:rsidP="00FA15E0">
      <w:pPr>
        <w:pStyle w:val="Standard"/>
        <w:spacing w:after="0" w:line="240" w:lineRule="auto"/>
        <w:jc w:val="both"/>
        <w:rPr>
          <w:rFonts w:ascii="Times New Roman" w:eastAsia="Times New Roman" w:hAnsi="Times New Roman"/>
          <w:sz w:val="24"/>
          <w:szCs w:val="24"/>
          <w:lang w:eastAsia="fr-FR"/>
        </w:rPr>
      </w:pPr>
    </w:p>
    <w:p w:rsidR="00FA15E0" w:rsidRDefault="00FA15E0" w:rsidP="00FA15E0">
      <w:pPr>
        <w:pStyle w:val="Standard"/>
        <w:spacing w:after="0" w:line="240" w:lineRule="auto"/>
        <w:jc w:val="both"/>
        <w:rPr>
          <w:rFonts w:ascii="Times New Roman" w:eastAsia="Times New Roman" w:hAnsi="Times New Roman"/>
          <w:sz w:val="24"/>
          <w:szCs w:val="24"/>
          <w:lang w:eastAsia="fr-FR"/>
        </w:rPr>
      </w:pPr>
    </w:p>
    <w:p w:rsidR="00FA15E0" w:rsidRDefault="00FA15E0" w:rsidP="00FA15E0">
      <w:pPr>
        <w:pStyle w:val="Default"/>
        <w:jc w:val="both"/>
      </w:pPr>
      <w:r>
        <w:rPr>
          <w:rFonts w:eastAsia="Times New Roman"/>
          <w:u w:val="single"/>
          <w:lang w:eastAsia="fr-FR"/>
        </w:rPr>
        <w:t>Gencod Bouteille :</w:t>
      </w:r>
      <w:r>
        <w:rPr>
          <w:rFonts w:eastAsia="Times New Roman"/>
          <w:lang w:eastAsia="fr-FR"/>
        </w:rPr>
        <w:t xml:space="preserve"> </w:t>
      </w:r>
      <w:r>
        <w:rPr>
          <w:rFonts w:eastAsia="Times New Roman"/>
          <w:lang w:eastAsia="fr-FR"/>
        </w:rPr>
        <w:tab/>
      </w:r>
      <w:r>
        <w:t xml:space="preserve"> 3 700 678 003 392</w:t>
      </w:r>
    </w:p>
    <w:p w:rsidR="00FA15E0" w:rsidRDefault="00FA15E0" w:rsidP="00FA15E0">
      <w:pPr>
        <w:pStyle w:val="Default"/>
        <w:jc w:val="both"/>
      </w:pPr>
      <w:proofErr w:type="spellStart"/>
      <w:r>
        <w:rPr>
          <w:rFonts w:eastAsia="Times New Roman"/>
          <w:u w:val="single"/>
          <w:lang w:eastAsia="fr-FR"/>
        </w:rPr>
        <w:t>Gencod</w:t>
      </w:r>
      <w:proofErr w:type="spellEnd"/>
      <w:r>
        <w:rPr>
          <w:rFonts w:eastAsia="Times New Roman"/>
          <w:u w:val="single"/>
          <w:lang w:eastAsia="fr-FR"/>
        </w:rPr>
        <w:t xml:space="preserve"> carton :</w:t>
      </w:r>
      <w:r>
        <w:rPr>
          <w:rFonts w:eastAsia="Times New Roman"/>
          <w:lang w:eastAsia="fr-FR"/>
        </w:rPr>
        <w:t xml:space="preserve"> </w:t>
      </w:r>
      <w:r>
        <w:rPr>
          <w:rFonts w:eastAsia="Times New Roman"/>
          <w:lang w:eastAsia="fr-FR"/>
        </w:rPr>
        <w:tab/>
        <w:t xml:space="preserve"> </w:t>
      </w:r>
      <w:r w:rsidR="0060159B">
        <w:t>3 700 678 003 408</w:t>
      </w:r>
    </w:p>
    <w:p w:rsidR="00FA15E0" w:rsidRDefault="00FA15E0" w:rsidP="00FA15E0">
      <w:pPr>
        <w:pStyle w:val="Default"/>
        <w:jc w:val="both"/>
      </w:pPr>
    </w:p>
    <w:p w:rsidR="00DE25DE" w:rsidRDefault="00DE25DE" w:rsidP="00C84871">
      <w:pPr>
        <w:spacing w:after="0" w:line="240" w:lineRule="auto"/>
        <w:contextualSpacing/>
        <w:jc w:val="both"/>
        <w:rPr>
          <w:rFonts w:ascii="Times New Roman" w:eastAsia="Times New Roman" w:hAnsi="Times New Roman"/>
          <w:sz w:val="24"/>
          <w:szCs w:val="24"/>
          <w:lang w:eastAsia="fr-FR"/>
        </w:rPr>
      </w:pPr>
    </w:p>
    <w:p w:rsidR="00DE25DE" w:rsidRPr="00890C1E" w:rsidRDefault="00FA15E0" w:rsidP="00C84871">
      <w:pPr>
        <w:spacing w:after="0" w:line="240" w:lineRule="auto"/>
        <w:contextualSpacing/>
        <w:jc w:val="both"/>
        <w:rPr>
          <w:rFonts w:ascii="Times New Roman" w:eastAsia="Times New Roman" w:hAnsi="Times New Roman"/>
          <w:b/>
          <w:sz w:val="24"/>
          <w:szCs w:val="24"/>
          <w:u w:val="single"/>
          <w:lang w:eastAsia="fr-FR"/>
        </w:rPr>
      </w:pPr>
      <w:r>
        <w:rPr>
          <w:rFonts w:ascii="Times New Roman" w:eastAsia="Times New Roman" w:hAnsi="Times New Roman"/>
          <w:b/>
          <w:noProof/>
          <w:sz w:val="24"/>
          <w:szCs w:val="24"/>
          <w:u w:val="single"/>
          <w:lang w:eastAsia="fr-FR"/>
        </w:rPr>
        <w:lastRenderedPageBreak/>
        <w:drawing>
          <wp:inline distT="0" distB="0" distL="0" distR="0">
            <wp:extent cx="2796726" cy="1005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 Toumalin 2015  Canon-Fronsac.jpe"/>
                    <pic:cNvPicPr/>
                  </pic:nvPicPr>
                  <pic:blipFill>
                    <a:blip r:embed="rId7">
                      <a:extLst>
                        <a:ext uri="{28A0092B-C50C-407E-A947-70E740481C1C}">
                          <a14:useLocalDpi xmlns:a14="http://schemas.microsoft.com/office/drawing/2010/main" val="0"/>
                        </a:ext>
                      </a:extLst>
                    </a:blip>
                    <a:stretch>
                      <a:fillRect/>
                    </a:stretch>
                  </pic:blipFill>
                  <pic:spPr>
                    <a:xfrm>
                      <a:off x="0" y="0"/>
                      <a:ext cx="2808719" cy="10101532"/>
                    </a:xfrm>
                    <a:prstGeom prst="rect">
                      <a:avLst/>
                    </a:prstGeom>
                  </pic:spPr>
                </pic:pic>
              </a:graphicData>
            </a:graphic>
          </wp:inline>
        </w:drawing>
      </w:r>
    </w:p>
    <w:sectPr w:rsidR="00DE25DE" w:rsidRPr="00890C1E" w:rsidSect="00FF7AD4">
      <w:pgSz w:w="11906" w:h="16838" w:code="9"/>
      <w:pgMar w:top="284" w:right="737" w:bottom="284" w:left="73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904236"/>
    <w:rsid w:val="000222DC"/>
    <w:rsid w:val="00070278"/>
    <w:rsid w:val="000D370F"/>
    <w:rsid w:val="001D2CA4"/>
    <w:rsid w:val="00225D49"/>
    <w:rsid w:val="002505AC"/>
    <w:rsid w:val="00251765"/>
    <w:rsid w:val="00254061"/>
    <w:rsid w:val="002606D0"/>
    <w:rsid w:val="0030182C"/>
    <w:rsid w:val="003D0E5C"/>
    <w:rsid w:val="00477629"/>
    <w:rsid w:val="00487DFA"/>
    <w:rsid w:val="00503158"/>
    <w:rsid w:val="00543648"/>
    <w:rsid w:val="00560909"/>
    <w:rsid w:val="00583238"/>
    <w:rsid w:val="005A387C"/>
    <w:rsid w:val="005A5C53"/>
    <w:rsid w:val="005D165B"/>
    <w:rsid w:val="005D487F"/>
    <w:rsid w:val="005D748B"/>
    <w:rsid w:val="005E7698"/>
    <w:rsid w:val="005F2EB4"/>
    <w:rsid w:val="005F7CFA"/>
    <w:rsid w:val="0060159B"/>
    <w:rsid w:val="00646D2E"/>
    <w:rsid w:val="006D57E1"/>
    <w:rsid w:val="006E7FB4"/>
    <w:rsid w:val="00713656"/>
    <w:rsid w:val="007B447A"/>
    <w:rsid w:val="00845596"/>
    <w:rsid w:val="00890C1E"/>
    <w:rsid w:val="008C0041"/>
    <w:rsid w:val="00904236"/>
    <w:rsid w:val="00960563"/>
    <w:rsid w:val="00964969"/>
    <w:rsid w:val="00974A89"/>
    <w:rsid w:val="009A4628"/>
    <w:rsid w:val="00A24BCF"/>
    <w:rsid w:val="00A9209F"/>
    <w:rsid w:val="00AA1271"/>
    <w:rsid w:val="00AC0768"/>
    <w:rsid w:val="00AF5808"/>
    <w:rsid w:val="00BB7A27"/>
    <w:rsid w:val="00C22352"/>
    <w:rsid w:val="00C651F8"/>
    <w:rsid w:val="00C84871"/>
    <w:rsid w:val="00C94454"/>
    <w:rsid w:val="00CC77D0"/>
    <w:rsid w:val="00D80BAB"/>
    <w:rsid w:val="00DE25DE"/>
    <w:rsid w:val="00E27167"/>
    <w:rsid w:val="00E557CB"/>
    <w:rsid w:val="00E7060E"/>
    <w:rsid w:val="00E85390"/>
    <w:rsid w:val="00E90EBE"/>
    <w:rsid w:val="00EB5E08"/>
    <w:rsid w:val="00EE13DD"/>
    <w:rsid w:val="00F55243"/>
    <w:rsid w:val="00F82208"/>
    <w:rsid w:val="00FA15E0"/>
    <w:rsid w:val="00FC0E7D"/>
    <w:rsid w:val="00FF7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D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22DC"/>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0222DC"/>
    <w:rPr>
      <w:rFonts w:ascii="Tahoma" w:hAnsi="Tahoma" w:cs="Tahoma"/>
      <w:sz w:val="16"/>
      <w:szCs w:val="16"/>
    </w:rPr>
  </w:style>
  <w:style w:type="paragraph" w:styleId="Pieddepage">
    <w:name w:val="footer"/>
    <w:basedOn w:val="Normal"/>
    <w:link w:val="PieddepageCar"/>
    <w:semiHidden/>
    <w:unhideWhenUsed/>
    <w:rsid w:val="000222DC"/>
    <w:pPr>
      <w:tabs>
        <w:tab w:val="center" w:pos="4536"/>
        <w:tab w:val="right" w:pos="9072"/>
      </w:tabs>
      <w:spacing w:after="0" w:line="240" w:lineRule="auto"/>
    </w:pPr>
  </w:style>
  <w:style w:type="character" w:customStyle="1" w:styleId="PieddepageCar">
    <w:name w:val="Pied de page Car"/>
    <w:basedOn w:val="Policepardfaut"/>
    <w:link w:val="Pieddepage"/>
    <w:semiHidden/>
    <w:rsid w:val="000222DC"/>
    <w:rPr>
      <w:rFonts w:ascii="Calibri" w:eastAsia="Calibri" w:hAnsi="Calibri" w:cs="Times New Roman"/>
    </w:rPr>
  </w:style>
  <w:style w:type="paragraph" w:customStyle="1" w:styleId="Standard">
    <w:name w:val="Standard"/>
    <w:rsid w:val="00FA15E0"/>
    <w:pPr>
      <w:suppressAutoHyphens/>
      <w:autoSpaceDN w:val="0"/>
      <w:textAlignment w:val="baseline"/>
    </w:pPr>
    <w:rPr>
      <w:rFonts w:ascii="Calibri" w:eastAsia="Calibri" w:hAnsi="Calibri" w:cs="Times New Roman"/>
      <w:kern w:val="3"/>
    </w:rPr>
  </w:style>
  <w:style w:type="paragraph" w:customStyle="1" w:styleId="Default">
    <w:name w:val="Default"/>
    <w:rsid w:val="00FA15E0"/>
    <w:pPr>
      <w:suppressAutoHyphens/>
      <w:autoSpaceDN w:val="0"/>
      <w:spacing w:after="0" w:line="240" w:lineRule="auto"/>
      <w:textAlignment w:val="baseline"/>
    </w:pPr>
    <w:rPr>
      <w:rFonts w:ascii="Times New Roman" w:eastAsia="SimSun" w:hAnsi="Times New Roman" w:cs="Times New Roman"/>
      <w:color w:val="000000"/>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eur\Documents\GMD\Fiches%20Techniques\Fiche%20Technique%20Ch.%20Feuillas%202011%20%20Bordeaux.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D367-B69E-4D5B-A4F2-9D68CF84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Technique Ch. Feuillas 2011  Bordeaux</Template>
  <TotalTime>3</TotalTime>
  <Pages>2</Pages>
  <Words>149</Words>
  <Characters>822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4</cp:revision>
  <cp:lastPrinted>2013-05-29T09:48:00Z</cp:lastPrinted>
  <dcterms:created xsi:type="dcterms:W3CDTF">2016-07-21T19:29:00Z</dcterms:created>
  <dcterms:modified xsi:type="dcterms:W3CDTF">2016-09-29T15:05:00Z</dcterms:modified>
</cp:coreProperties>
</file>